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D915FA" w:rsidRDefault="00D915FA" w:rsidP="00D915FA">
      <w:pPr>
        <w:ind w:left="4860"/>
        <w:rPr>
          <w:bCs/>
          <w:sz w:val="24"/>
          <w:szCs w:val="24"/>
          <w:lang w:val="ru-RU"/>
        </w:rPr>
      </w:pPr>
      <w:r w:rsidRPr="00EC0F08">
        <w:rPr>
          <w:sz w:val="24"/>
          <w:szCs w:val="24"/>
          <w:lang w:val="uk-UA"/>
        </w:rPr>
        <w:t xml:space="preserve">Додаток 1 до Положення про громадський бюджет (бюджет участі) </w:t>
      </w:r>
      <w:r>
        <w:rPr>
          <w:sz w:val="24"/>
          <w:szCs w:val="24"/>
          <w:lang w:val="uk-UA"/>
        </w:rPr>
        <w:t>Вишнівецько</w:t>
      </w:r>
      <w:r w:rsidRPr="00D915FA">
        <w:rPr>
          <w:sz w:val="24"/>
          <w:szCs w:val="24"/>
          <w:lang w:val="ru-RU"/>
        </w:rPr>
        <w:t>ї селищної ради</w:t>
      </w:r>
    </w:p>
    <w:p w:rsidR="00D915FA" w:rsidRPr="008445FA" w:rsidRDefault="00D915FA" w:rsidP="00D915FA">
      <w:pPr>
        <w:ind w:left="4860"/>
        <w:jc w:val="both"/>
        <w:rPr>
          <w:sz w:val="24"/>
          <w:szCs w:val="24"/>
          <w:lang w:val="uk-UA"/>
        </w:rPr>
      </w:pPr>
    </w:p>
    <w:p w:rsidR="00D915FA" w:rsidRPr="007354BF" w:rsidRDefault="00D915FA" w:rsidP="00D915FA">
      <w:pPr>
        <w:pStyle w:val="Normalny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Вишнівецької</w:t>
      </w:r>
      <w:r w:rsidRPr="007354BF">
        <w:rPr>
          <w:rFonts w:ascii="Times New Roman" w:hAnsi="Times New Roman" w:cs="Times New Roman"/>
          <w:b/>
          <w:bCs/>
          <w:sz w:val="28"/>
          <w:szCs w:val="28"/>
        </w:rPr>
        <w:t xml:space="preserve"> селищн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7354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22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рік та список мешканців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Вишнівецької</w:t>
      </w:r>
      <w:r w:rsidRPr="0073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D915FA" w:rsidRPr="008445FA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06"/>
        <w:gridCol w:w="2554"/>
      </w:tblGrid>
      <w:tr w:rsidR="00D915FA" w:rsidRPr="008445FA" w:rsidTr="00945F56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D915FA" w:rsidRPr="008445FA" w:rsidRDefault="00D915FA" w:rsidP="00945F5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915FA" w:rsidRPr="008445FA" w:rsidRDefault="00D915FA" w:rsidP="00945F5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D915FA" w:rsidRPr="008445FA" w:rsidRDefault="00D915FA" w:rsidP="00945F56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915FA" w:rsidRPr="008445FA" w:rsidRDefault="00D915FA" w:rsidP="00D915F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5C11DB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Встановлення вентиляційної системи на харчоблоках шкільної їдальні та садочка.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Адреса, назва установи/закладу, будинку: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вул. Шлях, 50-А, с.Старий Вишнівець,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Кременецький</w:t>
      </w:r>
      <w:bookmarkStart w:id="0" w:name="_GoBack"/>
      <w:bookmarkEnd w:id="0"/>
      <w:r w:rsidRPr="005C11DB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район, Тернопільська обл.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3.* Короткий опис проекту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100 слів) </w:t>
      </w:r>
    </w:p>
    <w:p w:rsidR="00D915FA" w:rsidRPr="005C11DB" w:rsidRDefault="00D915FA" w:rsidP="00D915FA">
      <w:pPr>
        <w:pStyle w:val="a8"/>
        <w:shd w:val="clear" w:color="auto" w:fill="FFFFFF"/>
        <w:spacing w:before="0" w:beforeAutospacing="0" w:after="0" w:afterAutospacing="0"/>
        <w:jc w:val="both"/>
      </w:pPr>
      <w:r w:rsidRPr="005C11DB">
        <w:t xml:space="preserve">        </w:t>
      </w:r>
    </w:p>
    <w:p w:rsidR="00D915FA" w:rsidRPr="005C11DB" w:rsidRDefault="00D915FA" w:rsidP="00D915FA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spacing w:val="7"/>
          <w:shd w:val="clear" w:color="auto" w:fill="FFFFFF"/>
        </w:rPr>
        <w:t xml:space="preserve">        </w:t>
      </w:r>
      <w:r w:rsidRPr="005C11DB">
        <w:rPr>
          <w:spacing w:val="7"/>
          <w:shd w:val="clear" w:color="auto" w:fill="FFFFFF"/>
        </w:rPr>
        <w:t>Їдальня</w:t>
      </w:r>
      <w:r>
        <w:rPr>
          <w:spacing w:val="7"/>
          <w:shd w:val="clear" w:color="auto" w:fill="FFFFFF"/>
        </w:rPr>
        <w:t xml:space="preserve"> </w:t>
      </w:r>
      <w:r w:rsidRPr="005C11DB">
        <w:rPr>
          <w:spacing w:val="7"/>
          <w:shd w:val="clear" w:color="auto" w:fill="FFFFFF"/>
        </w:rPr>
        <w:t xml:space="preserve">- одне із важливих приміщень у нашому </w:t>
      </w:r>
      <w:r>
        <w:rPr>
          <w:spacing w:val="7"/>
          <w:shd w:val="clear" w:color="auto" w:fill="FFFFFF"/>
        </w:rPr>
        <w:t xml:space="preserve">освітньому закладі, адже слугує </w:t>
      </w:r>
      <w:r w:rsidRPr="005C11DB">
        <w:rPr>
          <w:spacing w:val="7"/>
          <w:shd w:val="clear" w:color="auto" w:fill="FFFFFF"/>
        </w:rPr>
        <w:t xml:space="preserve">не лише для прийому їжі, а є для дітей своєрідною траєкторією відпочинку, де має панувати затишок і комфорт. </w:t>
      </w:r>
      <w:r w:rsidRPr="005C11DB">
        <w:rPr>
          <w:shd w:val="clear" w:color="auto" w:fill="FFFFFF"/>
        </w:rPr>
        <w:t>Для забезпечення комфорту потрібен доступ та циркулювання повітря, тому виникає необхідність облаштувати приміщення потужною вентиляційною системою, що зможе якісно виконувати свої функції</w:t>
      </w:r>
      <w:r>
        <w:rPr>
          <w:shd w:val="clear" w:color="auto" w:fill="FFFFFF"/>
        </w:rPr>
        <w:t>. На с</w:t>
      </w:r>
      <w:r w:rsidRPr="005C11DB">
        <w:rPr>
          <w:shd w:val="clear" w:color="auto" w:fill="FFFFFF"/>
        </w:rPr>
        <w:t xml:space="preserve">ьогодні вентиляційна система на харчоблоках шкільної їдальні та садочка відсутня взагалі. Відповідно санітарно-технічний стан приміщень харчоблоків не відповідає чинним стандартам. Це призводить до ускладнення використання даних приміщень та унеможливлює забезпечення дошкільнят та школярів здоровим повноцінним харчуванням, а також негативно впливає на здоров’я працівників та вихованців через надлишки теплоти, вологи та неприємні запахи. </w:t>
      </w:r>
    </w:p>
    <w:p w:rsidR="00D915FA" w:rsidRPr="005C11DB" w:rsidRDefault="00D915FA" w:rsidP="00D915FA">
      <w:pPr>
        <w:pStyle w:val="a8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D915FA" w:rsidRPr="005C11DB" w:rsidRDefault="00D915FA" w:rsidP="00D915FA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 Опис проекту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Мета:</w:t>
      </w:r>
      <w:r w:rsidRPr="005C11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с</w:t>
      </w:r>
      <w:r w:rsidRPr="005C11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творення модернізованої їдальні з сучасним вентиляційним обладнанням, що допоможе забезпечити школярів здоровим, повноцінним харчуванням і одночасно чистим повітрям. Успішне навчання та здоров'я дітей - головний пріоритет.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Завдання: 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-підвищення енергозбереження під час опалювального сезону;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- забезпечення санітарно-гігієнічних норм у експлуатації приміщення;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-забезпечення 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>свіжого повітря в приміщенні без будь-якого відкривання вікон і провітрювання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Актуальність: </w:t>
      </w:r>
      <w:r w:rsidRPr="005C11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встановлення вентиляційної системи</w:t>
      </w:r>
      <w:r w:rsidRPr="005C11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забезпечить 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>виведення зайвої вологи з приміщення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, а тому не буде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 xml:space="preserve"> проблеми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із 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>запотівання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м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 xml:space="preserve"> вікон,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 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>захист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ить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 xml:space="preserve"> від появи цвілі і грибка,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а також</w:t>
      </w:r>
      <w:r w:rsidRPr="005C11DB">
        <w:rPr>
          <w:rFonts w:ascii="Times New Roman" w:hAnsi="Times New Roman" w:cs="Times New Roman"/>
          <w:color w:val="auto"/>
          <w:sz w:val="24"/>
          <w:szCs w:val="24"/>
        </w:rPr>
        <w:t xml:space="preserve"> від вуличного бруду, пилу і комах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, що несе велику небезпеку на харчоблоці.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Інформація стосовно доступності (результатів) проекту для мешканців </w:t>
      </w:r>
      <w:r w:rsidRPr="005C11D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Вишнівецької об’єднаної територіальної громади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 передбачений для: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-  254 здобувачів освіти;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- 60 дошкільнят;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- 46 працівників освітнього закладу.</w:t>
      </w:r>
    </w:p>
    <w:p w:rsidR="00D915FA" w:rsidRPr="005C11DB" w:rsidRDefault="00D915FA" w:rsidP="00D915F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Обґрунтування необхідності реалізації проекту, а також його переваги для громади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D915FA" w:rsidRPr="005C11DB" w:rsidRDefault="00D915FA" w:rsidP="00D915FA">
      <w:pPr>
        <w:pStyle w:val="a8"/>
        <w:spacing w:before="0" w:beforeAutospacing="0" w:after="150" w:afterAutospacing="0" w:line="255" w:lineRule="atLeast"/>
        <w:jc w:val="both"/>
      </w:pPr>
      <w:r w:rsidRPr="005C11DB">
        <w:rPr>
          <w:shd w:val="clear" w:color="auto" w:fill="FFFFFF"/>
        </w:rPr>
        <w:t>Здоров'я та успішне навчання дітей - це найкращий показник оцінки результату проєкту. Наші діти хочуть дихати чистим повітрям в школі.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D915FA" w:rsidRPr="005C11DB" w:rsidRDefault="00D915FA" w:rsidP="00D915FA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7.* Орієнтовна вартість проекту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840"/>
        <w:gridCol w:w="3166"/>
        <w:gridCol w:w="1118"/>
        <w:gridCol w:w="753"/>
        <w:gridCol w:w="802"/>
        <w:gridCol w:w="1361"/>
      </w:tblGrid>
      <w:tr w:rsidR="00D915FA" w:rsidRPr="00EA66B1" w:rsidTr="00945F5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№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</w:tr>
      <w:tr w:rsidR="00D915FA" w:rsidRPr="00EA66B1" w:rsidTr="00945F5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П/П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>Од.вим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>К-сть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Ціна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>Вартість</w:t>
            </w: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Вентилятор TD 4000/355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шт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>37787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color w:val="000000"/>
                <w:lang w:val="ru-RU" w:eastAsia="ru-RU"/>
              </w:rPr>
              <w:t xml:space="preserve">37 787,00 </w:t>
            </w: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Монтажні роботи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lang w:val="ru-RU" w:eastAsia="ru-RU"/>
              </w:rPr>
              <w:t xml:space="preserve">12 213,00 </w:t>
            </w:r>
          </w:p>
        </w:tc>
      </w:tr>
      <w:tr w:rsidR="00D915FA" w:rsidRPr="00EA66B1" w:rsidTr="00945F5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D915FA" w:rsidRPr="00EA66B1" w:rsidTr="00945F56">
        <w:trPr>
          <w:trHeight w:val="31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Загальна сума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A" w:rsidRPr="00EA66B1" w:rsidRDefault="00D915FA" w:rsidP="00945F5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EA66B1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 xml:space="preserve">50 000,00 </w:t>
            </w:r>
          </w:p>
        </w:tc>
      </w:tr>
    </w:tbl>
    <w:p w:rsidR="00D915FA" w:rsidRPr="00EA66B1" w:rsidRDefault="00D915FA" w:rsidP="00D915FA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Список з підписами щонайменше 15 громадян України, які зареєстровані та  проживають </w:t>
      </w:r>
      <w:r w:rsidRPr="005C11D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на території населених пунктів  Вишнівецької ОТГ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та підтримують цю пропозицію (проект) (окрім його авторів), що додається.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D915FA" w:rsidRPr="005C11DB" w:rsidRDefault="00D915FA" w:rsidP="00D915FA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9.*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D915FA" w:rsidRPr="005C11DB" w:rsidRDefault="00D915FA" w:rsidP="00D915FA">
      <w:pPr>
        <w:pStyle w:val="Normalny1"/>
        <w:numPr>
          <w:ilvl w:val="0"/>
          <w:numId w:val="1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 </w:t>
      </w:r>
      <w:r w:rsidRPr="00EA66B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hospodarusko</w:t>
      </w:r>
      <w:r w:rsidRPr="00D303B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1969@</w:t>
      </w:r>
      <w:r w:rsidRPr="00EA66B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gmail</w:t>
      </w:r>
      <w:r w:rsidRPr="00D303B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  <w:r w:rsidRPr="00EA66B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com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для зазначених вище цілей </w:t>
      </w:r>
    </w:p>
    <w:p w:rsidR="00D915FA" w:rsidRPr="005C11DB" w:rsidRDefault="00D915FA" w:rsidP="00D915FA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….…………..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D915FA" w:rsidRPr="005C11DB" w:rsidRDefault="00D915FA" w:rsidP="00D915F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 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(тільки для </w:t>
      </w:r>
      <w:r w:rsidRPr="005C11D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Вишнівецької</w:t>
      </w:r>
      <w:r w:rsidRPr="005C11DB">
        <w:rPr>
          <w:rFonts w:ascii="Times New Roman" w:hAnsi="Times New Roman" w:cs="Times New Roman"/>
          <w:b/>
          <w:bCs/>
          <w:sz w:val="24"/>
          <w:szCs w:val="24"/>
        </w:rPr>
        <w:t xml:space="preserve"> селищн</w:t>
      </w:r>
      <w:r w:rsidRPr="005C11D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 ради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D915FA" w:rsidRPr="005C11DB" w:rsidRDefault="00D915FA" w:rsidP="00D915FA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10. Інші додатки </w:t>
      </w:r>
      <w:r w:rsidRPr="005C11D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5C11D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D915FA" w:rsidRPr="005C11DB" w:rsidRDefault="00D915FA" w:rsidP="00D915FA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проекту,</w:t>
      </w:r>
    </w:p>
    <w:p w:rsidR="00D915FA" w:rsidRPr="005C11DB" w:rsidRDefault="00D915FA" w:rsidP="00D915FA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проекту,</w:t>
      </w:r>
    </w:p>
    <w:p w:rsidR="00D915FA" w:rsidRPr="005C11DB" w:rsidRDefault="00D915FA" w:rsidP="00D915FA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C11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в)  інші, суттєві для заявника проекту, які саме?  </w:t>
      </w:r>
    </w:p>
    <w:p w:rsidR="00D915FA" w:rsidRPr="005C11DB" w:rsidRDefault="00D915FA" w:rsidP="00D915FA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rPr>
          <w:b/>
          <w:bCs/>
          <w:lang w:val="uk-UA"/>
        </w:rPr>
      </w:pPr>
      <w:r w:rsidRPr="005C11DB">
        <w:rPr>
          <w:b/>
          <w:bCs/>
          <w:lang w:val="uk-UA"/>
        </w:rPr>
        <w:t>Згода на обробку персональних даних:</w:t>
      </w:r>
    </w:p>
    <w:p w:rsidR="00D915FA" w:rsidRPr="005C11DB" w:rsidRDefault="00D915FA" w:rsidP="00D915FA">
      <w:pPr>
        <w:pStyle w:val="Default"/>
        <w:tabs>
          <w:tab w:val="left" w:pos="900"/>
        </w:tabs>
        <w:ind w:right="-1"/>
        <w:rPr>
          <w:lang w:val="uk-UA"/>
        </w:rPr>
      </w:pPr>
      <w:r w:rsidRPr="005C11DB">
        <w:rPr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_____________________________________________________________________  </w:t>
      </w: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center"/>
        <w:rPr>
          <w:vertAlign w:val="subscript"/>
          <w:lang w:val="uk-UA"/>
        </w:rPr>
      </w:pPr>
      <w:r w:rsidRPr="005C11DB">
        <w:rPr>
          <w:vertAlign w:val="subscript"/>
          <w:lang w:val="uk-UA"/>
        </w:rPr>
        <w:t>(прізвище, ім’я та по-батькові повністю)</w:t>
      </w: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center"/>
        <w:rPr>
          <w:vertAlign w:val="subscript"/>
          <w:lang w:val="uk-UA"/>
        </w:rPr>
      </w:pPr>
    </w:p>
    <w:p w:rsidR="00D915FA" w:rsidRPr="005C11DB" w:rsidRDefault="00D915FA" w:rsidP="00D915FA">
      <w:pPr>
        <w:pStyle w:val="Default"/>
        <w:ind w:right="340"/>
        <w:jc w:val="both"/>
        <w:rPr>
          <w:lang w:val="uk-UA"/>
        </w:rPr>
      </w:pPr>
      <w:r w:rsidRPr="005C11DB">
        <w:rPr>
          <w:lang w:val="uk-UA"/>
        </w:rPr>
        <w:t xml:space="preserve">даю згоду на обробку моїх персональних даних виконавчими органами Вишнівецької селищної ради та членам комісії </w:t>
      </w:r>
      <w:r w:rsidRPr="005C11DB">
        <w:rPr>
          <w:bCs/>
          <w:lang w:val="uk-UA"/>
        </w:rPr>
        <w:t xml:space="preserve">з розгляду проектів громадського бюджету </w:t>
      </w:r>
      <w:r w:rsidRPr="005C11DB">
        <w:rPr>
          <w:lang w:val="uk-UA"/>
        </w:rPr>
        <w:t>(бюджету участі) Вишнівецької селищної ради</w:t>
      </w: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rPr>
          <w:lang w:val="uk-UA"/>
        </w:rPr>
      </w:pP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both"/>
        <w:rPr>
          <w:lang w:val="uk-UA"/>
        </w:rPr>
      </w:pPr>
      <w:r w:rsidRPr="005C11DB">
        <w:rPr>
          <w:lang w:val="uk-UA"/>
        </w:rPr>
        <w:t>__________                                                                                   __________________</w:t>
      </w: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rPr>
          <w:lang w:val="uk-UA"/>
        </w:rPr>
      </w:pPr>
      <w:r w:rsidRPr="005C11DB">
        <w:rPr>
          <w:vertAlign w:val="subscript"/>
          <w:lang w:val="uk-UA"/>
        </w:rPr>
        <w:t xml:space="preserve">       </w:t>
      </w:r>
      <w:r w:rsidRPr="005C11DB">
        <w:rPr>
          <w:lang w:val="uk-UA"/>
        </w:rPr>
        <w:t xml:space="preserve"> </w:t>
      </w:r>
      <w:r w:rsidRPr="005C11DB">
        <w:rPr>
          <w:i/>
          <w:iCs/>
          <w:lang w:val="uk-UA"/>
        </w:rPr>
        <w:t>Дата</w:t>
      </w:r>
      <w:r>
        <w:rPr>
          <w:lang w:val="uk-UA"/>
        </w:rPr>
        <w:t xml:space="preserve">      </w:t>
      </w:r>
      <w:r w:rsidRPr="005C11DB">
        <w:rPr>
          <w:lang w:val="uk-UA"/>
        </w:rPr>
        <w:t xml:space="preserve">                                                                                                     </w:t>
      </w:r>
      <w:r w:rsidRPr="005C11DB">
        <w:rPr>
          <w:i/>
          <w:iCs/>
          <w:lang w:val="uk-UA"/>
        </w:rPr>
        <w:t>Підпис</w:t>
      </w: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D915FA" w:rsidRPr="005C11DB" w:rsidRDefault="00D915FA" w:rsidP="00D915FA">
      <w:pPr>
        <w:pStyle w:val="Default"/>
        <w:tabs>
          <w:tab w:val="left" w:pos="900"/>
        </w:tabs>
        <w:ind w:right="340"/>
        <w:rPr>
          <w:b/>
          <w:bCs/>
          <w:lang w:val="uk-UA"/>
        </w:rPr>
      </w:pPr>
      <w:r w:rsidRPr="005C11DB">
        <w:rPr>
          <w:b/>
          <w:bCs/>
          <w:lang w:val="uk-UA"/>
        </w:rPr>
        <w:t>Я погоджуюсь, що:</w:t>
      </w:r>
    </w:p>
    <w:p w:rsidR="00D915FA" w:rsidRPr="005C11DB" w:rsidRDefault="00D915FA" w:rsidP="00D915FA">
      <w:pPr>
        <w:pStyle w:val="Default"/>
        <w:numPr>
          <w:ilvl w:val="0"/>
          <w:numId w:val="2"/>
        </w:numPr>
        <w:autoSpaceDE/>
        <w:autoSpaceDN/>
        <w:adjustRightInd/>
        <w:spacing w:after="40"/>
        <w:ind w:right="340"/>
        <w:jc w:val="both"/>
        <w:rPr>
          <w:lang w:val="uk-UA"/>
        </w:rPr>
      </w:pPr>
      <w:r w:rsidRPr="005C11DB">
        <w:rPr>
          <w:lang w:val="uk-UA"/>
        </w:rPr>
        <w:t xml:space="preserve">заповнений бланк (за виключенням моїх персональних даних та списку осіб, які підтримали мій проект) буде опубліковано на сайті Вишнівецької селищної ради </w:t>
      </w:r>
      <w:r w:rsidRPr="005C11DB">
        <w:rPr>
          <w:bCs/>
          <w:lang w:val="en-US"/>
        </w:rPr>
        <w:t>http</w:t>
      </w:r>
      <w:r w:rsidRPr="005C11DB">
        <w:rPr>
          <w:bCs/>
        </w:rPr>
        <w:t>://</w:t>
      </w:r>
      <w:r w:rsidRPr="005C11DB">
        <w:rPr>
          <w:bCs/>
          <w:lang w:val="en-US"/>
        </w:rPr>
        <w:t>vyshnivetska</w:t>
      </w:r>
      <w:r w:rsidRPr="005C11DB">
        <w:rPr>
          <w:bCs/>
        </w:rPr>
        <w:t>-</w:t>
      </w:r>
      <w:r w:rsidRPr="005C11DB">
        <w:rPr>
          <w:bCs/>
          <w:lang w:val="en-US"/>
        </w:rPr>
        <w:t>gromada</w:t>
      </w:r>
      <w:r w:rsidRPr="005C11DB">
        <w:rPr>
          <w:bCs/>
        </w:rPr>
        <w:t>.</w:t>
      </w:r>
      <w:r w:rsidRPr="005C11DB">
        <w:rPr>
          <w:bCs/>
          <w:lang w:val="en-US"/>
        </w:rPr>
        <w:t>gov</w:t>
      </w:r>
      <w:r w:rsidRPr="005C11DB">
        <w:rPr>
          <w:bCs/>
        </w:rPr>
        <w:t>.</w:t>
      </w:r>
      <w:r w:rsidRPr="005C11DB">
        <w:rPr>
          <w:bCs/>
          <w:lang w:val="en-US"/>
        </w:rPr>
        <w:t>ua</w:t>
      </w:r>
      <w:r w:rsidRPr="005C11DB">
        <w:rPr>
          <w:bCs/>
        </w:rPr>
        <w:t xml:space="preserve">/ </w:t>
      </w:r>
      <w:r w:rsidRPr="005C11DB">
        <w:rPr>
          <w:lang w:val="uk-UA"/>
        </w:rPr>
        <w:t xml:space="preserve">в розділі «Громадський бюджет»; </w:t>
      </w:r>
    </w:p>
    <w:p w:rsidR="00D915FA" w:rsidRPr="005C11DB" w:rsidRDefault="00D915FA" w:rsidP="00D915FA">
      <w:pPr>
        <w:pStyle w:val="Default"/>
        <w:numPr>
          <w:ilvl w:val="0"/>
          <w:numId w:val="2"/>
        </w:numPr>
        <w:autoSpaceDE/>
        <w:autoSpaceDN/>
        <w:adjustRightInd/>
        <w:spacing w:after="40"/>
        <w:ind w:right="340"/>
        <w:jc w:val="both"/>
        <w:rPr>
          <w:lang w:val="uk-UA"/>
        </w:rPr>
      </w:pPr>
      <w:r w:rsidRPr="005C11DB">
        <w:rPr>
          <w:lang w:val="uk-UA"/>
        </w:rPr>
        <w:t>можливе уточнення проекту, якщо його реалізація суперечитиме Законам України чи сума для реалізації в 202</w:t>
      </w:r>
      <w:r>
        <w:rPr>
          <w:lang w:val="uk-UA"/>
        </w:rPr>
        <w:t>2</w:t>
      </w:r>
      <w:r w:rsidRPr="005C11DB">
        <w:rPr>
          <w:lang w:val="uk-UA"/>
        </w:rPr>
        <w:t xml:space="preserve"> році перевищить максимальний обсяг коштів, визначених на його реалізацію;</w:t>
      </w:r>
    </w:p>
    <w:p w:rsidR="00D915FA" w:rsidRPr="005C11DB" w:rsidRDefault="00D915FA" w:rsidP="00D915FA">
      <w:pPr>
        <w:pStyle w:val="Default"/>
        <w:numPr>
          <w:ilvl w:val="0"/>
          <w:numId w:val="2"/>
        </w:numPr>
        <w:autoSpaceDE/>
        <w:autoSpaceDN/>
        <w:adjustRightInd/>
        <w:spacing w:after="40"/>
        <w:ind w:right="340"/>
        <w:jc w:val="both"/>
        <w:rPr>
          <w:b/>
          <w:lang w:val="uk-UA"/>
        </w:rPr>
      </w:pPr>
      <w:r w:rsidRPr="005C11DB">
        <w:rPr>
          <w:lang w:val="uk-UA"/>
        </w:rPr>
        <w:t xml:space="preserve">ідеї та складові проекту можуть використовуватися Вишнівецькою селищною радою та її виконавчими органами, у тому числі поза межами реалізації громадського бюджету (бюджету участі) Вишнівецької селищної ради. </w:t>
      </w:r>
    </w:p>
    <w:p w:rsidR="00D915FA" w:rsidRPr="00D303BE" w:rsidRDefault="00D915FA" w:rsidP="00D915FA">
      <w:pPr>
        <w:pStyle w:val="Default"/>
        <w:tabs>
          <w:tab w:val="left" w:pos="284"/>
        </w:tabs>
        <w:ind w:right="340"/>
        <w:jc w:val="both"/>
        <w:rPr>
          <w:lang w:val="uk-UA"/>
        </w:rPr>
      </w:pPr>
    </w:p>
    <w:p w:rsidR="00D915FA" w:rsidRPr="005C11DB" w:rsidRDefault="00D915FA" w:rsidP="00D915FA">
      <w:pPr>
        <w:pStyle w:val="Default"/>
        <w:tabs>
          <w:tab w:val="left" w:pos="284"/>
        </w:tabs>
        <w:ind w:right="340"/>
        <w:jc w:val="both"/>
        <w:rPr>
          <w:lang w:val="uk-UA"/>
        </w:rPr>
      </w:pPr>
      <w:r w:rsidRPr="005C11DB">
        <w:rPr>
          <w:lang w:val="uk-UA"/>
        </w:rPr>
        <w:t>__________                            _____________                                         ___________________</w:t>
      </w:r>
    </w:p>
    <w:p w:rsidR="00D915FA" w:rsidRPr="005C11DB" w:rsidRDefault="00D915FA" w:rsidP="00D915FA">
      <w:pPr>
        <w:pStyle w:val="Default"/>
        <w:tabs>
          <w:tab w:val="left" w:pos="284"/>
        </w:tabs>
        <w:ind w:right="340"/>
        <w:jc w:val="both"/>
        <w:rPr>
          <w:i/>
          <w:lang w:val="uk-UA"/>
        </w:rPr>
      </w:pPr>
      <w:r>
        <w:rPr>
          <w:i/>
          <w:lang w:val="uk-UA"/>
        </w:rPr>
        <w:t xml:space="preserve">    Дата </w:t>
      </w:r>
      <w:r w:rsidRPr="005C11DB">
        <w:rPr>
          <w:i/>
          <w:lang w:val="uk-UA"/>
        </w:rPr>
        <w:t xml:space="preserve">                             Підпис автора</w:t>
      </w:r>
      <w:r>
        <w:rPr>
          <w:i/>
          <w:lang w:val="uk-UA"/>
        </w:rPr>
        <w:t xml:space="preserve">                         </w:t>
      </w:r>
      <w:r w:rsidRPr="005C11DB">
        <w:rPr>
          <w:i/>
          <w:lang w:val="uk-UA"/>
        </w:rPr>
        <w:t xml:space="preserve">                            ПІБ автора</w:t>
      </w:r>
    </w:p>
    <w:p w:rsidR="00D915FA" w:rsidRPr="005C11DB" w:rsidRDefault="00D915FA" w:rsidP="00D915FA">
      <w:pPr>
        <w:pStyle w:val="Default"/>
        <w:ind w:right="340"/>
        <w:jc w:val="both"/>
        <w:rPr>
          <w:vertAlign w:val="subscript"/>
          <w:lang w:val="uk-UA"/>
        </w:rPr>
      </w:pPr>
      <w:r w:rsidRPr="005C11DB">
        <w:rPr>
          <w:vertAlign w:val="subscript"/>
          <w:lang w:val="uk-UA"/>
        </w:rPr>
        <w:t xml:space="preserve">                                                          </w:t>
      </w:r>
    </w:p>
    <w:p w:rsidR="00D915FA" w:rsidRPr="005C11DB" w:rsidRDefault="00D915FA" w:rsidP="00D915FA">
      <w:pPr>
        <w:pStyle w:val="Default"/>
        <w:ind w:right="340"/>
        <w:rPr>
          <w:lang w:val="uk-UA"/>
        </w:rPr>
      </w:pPr>
    </w:p>
    <w:p w:rsidR="00D915FA" w:rsidRDefault="00D915FA" w:rsidP="00D915FA">
      <w:pPr>
        <w:pStyle w:val="Default"/>
        <w:ind w:right="340"/>
        <w:rPr>
          <w:lang w:val="uk-UA"/>
        </w:rPr>
      </w:pPr>
    </w:p>
    <w:p w:rsidR="00D915FA" w:rsidRDefault="00D915FA" w:rsidP="00D915FA">
      <w:pPr>
        <w:pStyle w:val="Default"/>
        <w:ind w:right="340"/>
        <w:rPr>
          <w:lang w:val="uk-UA"/>
        </w:rPr>
      </w:pPr>
    </w:p>
    <w:p w:rsidR="00D915FA" w:rsidRDefault="00D915FA" w:rsidP="00D915FA">
      <w:pPr>
        <w:pStyle w:val="Default"/>
        <w:ind w:right="340"/>
        <w:rPr>
          <w:lang w:val="uk-UA"/>
        </w:rPr>
      </w:pPr>
    </w:p>
    <w:p w:rsidR="00D915FA" w:rsidRDefault="00D915FA" w:rsidP="00D915FA">
      <w:pPr>
        <w:pStyle w:val="Default"/>
        <w:ind w:right="340"/>
        <w:rPr>
          <w:lang w:val="uk-UA"/>
        </w:rPr>
      </w:pPr>
    </w:p>
    <w:p w:rsidR="00D915FA" w:rsidRPr="008752B6" w:rsidRDefault="00D915FA" w:rsidP="00D915FA">
      <w:pPr>
        <w:pStyle w:val="Default"/>
        <w:ind w:right="340"/>
        <w:rPr>
          <w:lang w:val="uk-UA"/>
        </w:rPr>
      </w:pPr>
    </w:p>
    <w:p w:rsidR="00D915FA" w:rsidRPr="008752B6" w:rsidRDefault="00D915FA" w:rsidP="00D915FA">
      <w:pPr>
        <w:pStyle w:val="Default"/>
        <w:ind w:right="340"/>
        <w:jc w:val="center"/>
        <w:rPr>
          <w:b/>
          <w:lang w:val="uk-UA"/>
        </w:rPr>
      </w:pPr>
      <w:r w:rsidRPr="008752B6">
        <w:rPr>
          <w:b/>
          <w:lang w:val="uk-UA"/>
        </w:rPr>
        <w:t>КВИТАНЦІЯ ПРО ПРИЙОМ ПРОЕКТУ</w:t>
      </w:r>
    </w:p>
    <w:p w:rsidR="00D915FA" w:rsidRPr="008752B6" w:rsidRDefault="00D915FA" w:rsidP="00D915FA">
      <w:pPr>
        <w:pStyle w:val="Default"/>
        <w:ind w:right="340"/>
        <w:jc w:val="center"/>
        <w:rPr>
          <w:b/>
          <w:lang w:val="uk-UA"/>
        </w:rPr>
      </w:pPr>
    </w:p>
    <w:p w:rsidR="00D915FA" w:rsidRPr="008752B6" w:rsidRDefault="00D915FA" w:rsidP="00D915FA">
      <w:pPr>
        <w:pStyle w:val="Default"/>
        <w:ind w:right="340"/>
        <w:rPr>
          <w:b/>
          <w:lang w:val="uk-UA"/>
        </w:rPr>
      </w:pPr>
      <w:r w:rsidRPr="008752B6">
        <w:rPr>
          <w:b/>
          <w:lang w:val="uk-UA"/>
        </w:rPr>
        <w:t>Заповнюється особою, що реєструє:</w:t>
      </w:r>
    </w:p>
    <w:p w:rsidR="00D915FA" w:rsidRPr="008752B6" w:rsidRDefault="00D915FA" w:rsidP="00D915FA">
      <w:pPr>
        <w:pStyle w:val="Default"/>
        <w:ind w:right="340"/>
        <w:rPr>
          <w:b/>
          <w:lang w:val="uk-UA"/>
        </w:rPr>
      </w:pPr>
    </w:p>
    <w:tbl>
      <w:tblPr>
        <w:tblpPr w:leftFromText="180" w:rightFromText="180" w:vertAnchor="text" w:horzAnchor="page" w:tblpX="587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D915FA" w:rsidRPr="008752B6" w:rsidTr="00945F56">
        <w:trPr>
          <w:trHeight w:val="428"/>
        </w:trPr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</w:tr>
    </w:tbl>
    <w:p w:rsidR="00D915FA" w:rsidRPr="008752B6" w:rsidRDefault="00D915FA" w:rsidP="00D915FA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Дата надходження:  </w:t>
      </w:r>
    </w:p>
    <w:tbl>
      <w:tblPr>
        <w:tblpPr w:leftFromText="180" w:rightFromText="180" w:vertAnchor="text" w:horzAnchor="page" w:tblpX="587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</w:tblGrid>
      <w:tr w:rsidR="00D915FA" w:rsidRPr="008752B6" w:rsidTr="00945F56">
        <w:trPr>
          <w:trHeight w:val="367"/>
        </w:trPr>
        <w:tc>
          <w:tcPr>
            <w:tcW w:w="458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</w:tcPr>
          <w:p w:rsidR="00D915FA" w:rsidRPr="008752B6" w:rsidRDefault="00D915FA" w:rsidP="00945F56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</w:tr>
    </w:tbl>
    <w:p w:rsidR="00D915FA" w:rsidRPr="008752B6" w:rsidRDefault="00D915FA" w:rsidP="00D915FA">
      <w:pPr>
        <w:pStyle w:val="Default"/>
        <w:ind w:right="340"/>
        <w:rPr>
          <w:lang w:val="uk-UA"/>
        </w:rPr>
      </w:pPr>
    </w:p>
    <w:p w:rsidR="00D915FA" w:rsidRPr="008752B6" w:rsidRDefault="00D915FA" w:rsidP="00D915FA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Номер квитанції: </w:t>
      </w:r>
    </w:p>
    <w:p w:rsidR="00D915FA" w:rsidRPr="008752B6" w:rsidRDefault="00D915FA" w:rsidP="00D915FA">
      <w:pPr>
        <w:pStyle w:val="Default"/>
        <w:ind w:right="340"/>
        <w:rPr>
          <w:lang w:val="uk-UA"/>
        </w:rPr>
      </w:pPr>
    </w:p>
    <w:p w:rsidR="00D915FA" w:rsidRPr="008752B6" w:rsidRDefault="00D915FA" w:rsidP="00D915FA">
      <w:pPr>
        <w:pStyle w:val="Default"/>
        <w:ind w:right="340"/>
        <w:rPr>
          <w:lang w:val="uk-UA"/>
        </w:rPr>
      </w:pPr>
    </w:p>
    <w:p w:rsidR="00D915FA" w:rsidRPr="008752B6" w:rsidRDefault="00D915FA" w:rsidP="00D915FA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ПІБ та підпис особи, що реєструє: ______________________</w:t>
      </w:r>
    </w:p>
    <w:p w:rsidR="00D915FA" w:rsidRPr="005F1F58" w:rsidRDefault="00D915FA" w:rsidP="00D915FA">
      <w:pPr>
        <w:rPr>
          <w:lang w:val="uk-UA" w:eastAsia="ru-RU"/>
        </w:rPr>
      </w:pPr>
    </w:p>
    <w:p w:rsidR="00754D0D" w:rsidRPr="00D915FA" w:rsidRDefault="00754D0D">
      <w:pPr>
        <w:rPr>
          <w:lang w:val="uk-UA"/>
        </w:rPr>
      </w:pPr>
    </w:p>
    <w:sectPr w:rsidR="00754D0D" w:rsidRPr="00D915FA" w:rsidSect="001B1B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D915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E" w:rsidRPr="008D3675" w:rsidRDefault="00D915FA">
    <w:pPr>
      <w:pStyle w:val="a5"/>
      <w:jc w:val="right"/>
      <w:rPr>
        <w:sz w:val="20"/>
      </w:rPr>
    </w:pPr>
  </w:p>
  <w:p w:rsidR="00D41AAE" w:rsidRDefault="00D915F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D915F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72" w:rsidRDefault="00D915FA" w:rsidP="000D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072" w:rsidRDefault="00D91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72" w:rsidRDefault="00D915FA" w:rsidP="000D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75072" w:rsidRDefault="00D91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D91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  <w:num w:numId="2">
    <w:abstractNumId w:val="1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FA"/>
    <w:rsid w:val="00754D0D"/>
    <w:rsid w:val="00D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A882"/>
  <w15:chartTrackingRefBased/>
  <w15:docId w15:val="{B828CACC-DA1D-4C05-ACA2-11212671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5F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4">
    <w:name w:val="Верхній колонтитул Знак"/>
    <w:basedOn w:val="a0"/>
    <w:link w:val="a3"/>
    <w:rsid w:val="00D915F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nhideWhenUsed/>
    <w:rsid w:val="00D915F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6">
    <w:name w:val="Нижній колонтитул Знак"/>
    <w:basedOn w:val="a0"/>
    <w:link w:val="a5"/>
    <w:rsid w:val="00D915F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D915FA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styleId="a7">
    <w:name w:val="page number"/>
    <w:basedOn w:val="a0"/>
    <w:rsid w:val="00D915FA"/>
  </w:style>
  <w:style w:type="paragraph" w:customStyle="1" w:styleId="Default">
    <w:name w:val="Default"/>
    <w:rsid w:val="00D9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D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2021-11-29T13:55:00Z</dcterms:created>
  <dcterms:modified xsi:type="dcterms:W3CDTF">2021-11-29T13:58:00Z</dcterms:modified>
</cp:coreProperties>
</file>